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46A5" w14:textId="77777777" w:rsidR="009D1A67" w:rsidRPr="007864D4" w:rsidRDefault="009D1A67" w:rsidP="007864D4">
      <w:pPr>
        <w:pStyle w:val="Heading2"/>
      </w:pPr>
      <w:r w:rsidRPr="007864D4">
        <w:t>Welcome</w:t>
      </w:r>
      <w:r w:rsidR="009E6C59" w:rsidRPr="007864D4">
        <w:t>, Call to Order, Introductions</w:t>
      </w:r>
    </w:p>
    <w:p w14:paraId="7EDA03CD" w14:textId="52389D60" w:rsidR="009C010C" w:rsidRPr="009A053D" w:rsidRDefault="00EA6A5D" w:rsidP="006E6868">
      <w:pPr>
        <w:pStyle w:val="Normal2"/>
      </w:pPr>
      <w:r>
        <w:t xml:space="preserve">W. Shannon Black, WECC Consultant, Standards Processes, </w:t>
      </w:r>
      <w:r w:rsidR="000A3E72" w:rsidRPr="009A053D">
        <w:t xml:space="preserve">called the meeting to order at </w:t>
      </w:r>
      <w:r w:rsidR="009656A3">
        <w:t xml:space="preserve">10:00 a.m., </w:t>
      </w:r>
      <w:r w:rsidR="00DC6A4E">
        <w:t xml:space="preserve">October 18, 2022.  </w:t>
      </w:r>
      <w:r w:rsidR="00BC58E0">
        <w:t>A</w:t>
      </w:r>
      <w:r w:rsidR="000A3E72" w:rsidRPr="009A053D">
        <w:t xml:space="preserve"> quorum </w:t>
      </w:r>
      <w:r>
        <w:t>is not required per the WECC Reliability Standards Development Procedures (Procedures)</w:t>
      </w:r>
      <w:r w:rsidR="00653C47">
        <w:t xml:space="preserve">. </w:t>
      </w:r>
      <w:r w:rsidR="000A3E72" w:rsidRPr="009A053D">
        <w:t>A list of atte</w:t>
      </w:r>
      <w:r w:rsidR="00F94AF6" w:rsidRPr="009A053D">
        <w:t xml:space="preserve">ndees is attached as Exhibit </w:t>
      </w:r>
      <w:r w:rsidR="00653C47" w:rsidRPr="009A053D">
        <w:t>A.</w:t>
      </w:r>
      <w:r w:rsidR="00653C47">
        <w:t xml:space="preserve"> </w:t>
      </w:r>
    </w:p>
    <w:p w14:paraId="0CD0C3D7" w14:textId="77777777" w:rsidR="000F6CFC" w:rsidRPr="009A053D" w:rsidRDefault="001F1DB9" w:rsidP="007864D4">
      <w:pPr>
        <w:pStyle w:val="Heading2"/>
      </w:pPr>
      <w:r w:rsidRPr="009A053D">
        <w:t xml:space="preserve">Review WECC </w:t>
      </w:r>
      <w:r w:rsidR="000F6CFC" w:rsidRPr="009A053D">
        <w:t>Antitrust Policy</w:t>
      </w:r>
    </w:p>
    <w:p w14:paraId="3FF5C607" w14:textId="77777777" w:rsidR="000F6CFC" w:rsidRPr="009A053D" w:rsidRDefault="00EA6A5D" w:rsidP="006E6868">
      <w:pPr>
        <w:pStyle w:val="Normal2"/>
      </w:pPr>
      <w:r>
        <w:t xml:space="preserve">Mr. Black </w:t>
      </w:r>
      <w:r w:rsidR="000F6CFC" w:rsidRPr="009A053D">
        <w:t xml:space="preserve">read aloud the WECC Antitrust Policy statement. A link to the </w:t>
      </w:r>
      <w:r w:rsidR="00F83AC5" w:rsidRPr="009A053D">
        <w:t>posted p</w:t>
      </w:r>
      <w:r w:rsidR="000F6CFC" w:rsidRPr="009A053D">
        <w:t>olicy was provided</w:t>
      </w:r>
      <w:r>
        <w:t xml:space="preserve"> </w:t>
      </w:r>
      <w:r w:rsidR="000F6CFC" w:rsidRPr="009A053D">
        <w:t>in the meeting agenda.</w:t>
      </w:r>
    </w:p>
    <w:p w14:paraId="52BAD9DA" w14:textId="77777777" w:rsidR="009D1A67" w:rsidRPr="009A053D" w:rsidRDefault="009D1A67" w:rsidP="007864D4">
      <w:pPr>
        <w:pStyle w:val="Heading2"/>
      </w:pPr>
      <w:r w:rsidRPr="009A053D">
        <w:t>Approve Agenda</w:t>
      </w:r>
    </w:p>
    <w:p w14:paraId="65445BD5" w14:textId="77777777" w:rsidR="009D1A67" w:rsidRPr="009A053D" w:rsidRDefault="00EA6A5D" w:rsidP="006E6868">
      <w:pPr>
        <w:pStyle w:val="Normal2"/>
        <w:rPr>
          <w:b/>
        </w:rPr>
      </w:pPr>
      <w:r>
        <w:t xml:space="preserve">Mr. Black </w:t>
      </w:r>
      <w:r w:rsidR="009D1A67" w:rsidRPr="009A053D">
        <w:t>introduced the proposed meeting agenda.</w:t>
      </w:r>
    </w:p>
    <w:p w14:paraId="0A83D9D7" w14:textId="77777777" w:rsidR="009D1A67" w:rsidRPr="0054204F" w:rsidRDefault="00EA6A5D" w:rsidP="0054204F">
      <w:pPr>
        <w:pStyle w:val="Normal2"/>
        <w:rPr>
          <w:rStyle w:val="Strong"/>
          <w:bCs w:val="0"/>
        </w:rPr>
      </w:pPr>
      <w:r>
        <w:rPr>
          <w:rStyle w:val="Strong"/>
          <w:bCs w:val="0"/>
        </w:rPr>
        <w:t xml:space="preserve">The agenda was approved by consensus. </w:t>
      </w:r>
    </w:p>
    <w:p w14:paraId="7F48D050" w14:textId="77777777" w:rsidR="009D1A67" w:rsidRPr="009A053D" w:rsidRDefault="009D1A67" w:rsidP="007864D4">
      <w:pPr>
        <w:pStyle w:val="Heading2"/>
      </w:pPr>
      <w:r w:rsidRPr="009A053D">
        <w:t xml:space="preserve">Review </w:t>
      </w:r>
      <w:r w:rsidR="001F1DB9" w:rsidRPr="009A053D">
        <w:t xml:space="preserve">and Approve </w:t>
      </w:r>
      <w:r w:rsidR="00F83AC5" w:rsidRPr="009A053D">
        <w:t>Previous Meeting</w:t>
      </w:r>
      <w:r w:rsidRPr="009A053D">
        <w:t xml:space="preserve"> Minutes</w:t>
      </w:r>
    </w:p>
    <w:p w14:paraId="56EF3C13" w14:textId="77777777" w:rsidR="0057244E" w:rsidRDefault="00161415" w:rsidP="006E6868">
      <w:pPr>
        <w:pStyle w:val="Normal2"/>
      </w:pPr>
      <w:r>
        <w:t>The drafting team chair,</w:t>
      </w:r>
      <w:r w:rsidR="00893480">
        <w:t xml:space="preserve"> </w:t>
      </w:r>
      <w:r w:rsidR="00893480" w:rsidRPr="00893480">
        <w:t xml:space="preserve">Linda Henrickson </w:t>
      </w:r>
      <w:r w:rsidR="00893480">
        <w:t xml:space="preserve">of Arizona Public Service </w:t>
      </w:r>
      <w:r>
        <w:t>agreed to review the meeting minutes in advance of scheduled meetings and to provide a standing motion to approve the minutes, unless otherwise noted</w:t>
      </w:r>
      <w:r w:rsidR="00653C47">
        <w:t>.</w:t>
      </w:r>
    </w:p>
    <w:p w14:paraId="0A0F9FE8" w14:textId="07F8000C" w:rsidR="00161415" w:rsidRPr="0057244E" w:rsidRDefault="0057244E" w:rsidP="006E6868">
      <w:pPr>
        <w:pStyle w:val="Normal2"/>
        <w:rPr>
          <w:b/>
          <w:bCs/>
        </w:rPr>
      </w:pPr>
      <w:r w:rsidRPr="0057244E">
        <w:rPr>
          <w:b/>
          <w:bCs/>
        </w:rPr>
        <w:t xml:space="preserve">The minutes were approved by consensus. </w:t>
      </w:r>
      <w:r w:rsidR="00653C47" w:rsidRPr="0057244E">
        <w:rPr>
          <w:b/>
          <w:bCs/>
        </w:rPr>
        <w:t xml:space="preserve"> </w:t>
      </w:r>
    </w:p>
    <w:p w14:paraId="14763118" w14:textId="77777777" w:rsidR="009D1A67" w:rsidRPr="009A053D" w:rsidRDefault="009D1A67" w:rsidP="007864D4">
      <w:pPr>
        <w:pStyle w:val="Heading2"/>
      </w:pPr>
      <w:r w:rsidRPr="009A053D">
        <w:t>Review of Previous Action Items</w:t>
      </w:r>
    </w:p>
    <w:p w14:paraId="74ED4CAA" w14:textId="4D25F397" w:rsidR="0057244E" w:rsidRDefault="0057244E" w:rsidP="0057244E">
      <w:pPr>
        <w:ind w:left="720"/>
        <w:rPr>
          <w:rFonts w:ascii="Palatino Linotype" w:hAnsi="Palatino Linotype"/>
        </w:rPr>
      </w:pPr>
      <w:r>
        <w:rPr>
          <w:rFonts w:ascii="Palatino Linotype" w:hAnsi="Palatino Linotype"/>
        </w:rPr>
        <w:t xml:space="preserve">Each of the following action items are complete. </w:t>
      </w:r>
    </w:p>
    <w:p w14:paraId="7EF41913" w14:textId="072015B4" w:rsidR="0057244E" w:rsidRPr="005264AF" w:rsidRDefault="0057244E" w:rsidP="0057244E">
      <w:pPr>
        <w:ind w:left="720"/>
        <w:rPr>
          <w:rFonts w:ascii="Palatino Linotype" w:hAnsi="Palatino Linotype"/>
        </w:rPr>
      </w:pPr>
      <w:r>
        <w:rPr>
          <w:rFonts w:ascii="Palatino Linotype" w:hAnsi="Palatino Linotype"/>
        </w:rPr>
        <w:t>Mr. Black agreed to:</w:t>
      </w:r>
    </w:p>
    <w:p w14:paraId="68023967" w14:textId="3C92EA20" w:rsidR="00DC6A4E" w:rsidRDefault="00DC6A4E" w:rsidP="00DC6A4E">
      <w:pPr>
        <w:pStyle w:val="ListParagraph"/>
        <w:numPr>
          <w:ilvl w:val="0"/>
          <w:numId w:val="41"/>
        </w:numPr>
        <w:rPr>
          <w:rFonts w:ascii="Palatino Linotype" w:hAnsi="Palatino Linotype"/>
        </w:rPr>
      </w:pPr>
      <w:r>
        <w:rPr>
          <w:rFonts w:ascii="Palatino Linotype" w:hAnsi="Palatino Linotype"/>
        </w:rPr>
        <w:t>Prepare a final draft Posting One and Two, Response to Comments</w:t>
      </w:r>
    </w:p>
    <w:p w14:paraId="5DF431D3" w14:textId="77777777" w:rsidR="00DC6A4E" w:rsidRDefault="00DC6A4E" w:rsidP="00DC6A4E">
      <w:pPr>
        <w:pStyle w:val="ListParagraph"/>
        <w:numPr>
          <w:ilvl w:val="0"/>
          <w:numId w:val="41"/>
        </w:numPr>
        <w:rPr>
          <w:rFonts w:ascii="Palatino Linotype" w:hAnsi="Palatino Linotype"/>
        </w:rPr>
      </w:pPr>
      <w:r>
        <w:rPr>
          <w:rFonts w:ascii="Palatino Linotype" w:hAnsi="Palatino Linotype"/>
        </w:rPr>
        <w:t>Finalize the project for WECC Standards Committee (WSC) review</w:t>
      </w:r>
    </w:p>
    <w:p w14:paraId="70E055E5" w14:textId="088A625C" w:rsidR="004C25DD" w:rsidRPr="009A053D" w:rsidRDefault="0089686E" w:rsidP="004C25DD">
      <w:pPr>
        <w:pStyle w:val="Heading2"/>
      </w:pPr>
      <w:r>
        <w:t>Drafting WECC-01</w:t>
      </w:r>
      <w:r w:rsidR="007071C8">
        <w:t>4</w:t>
      </w:r>
      <w:r w:rsidR="0019490D">
        <w:t>9</w:t>
      </w:r>
    </w:p>
    <w:p w14:paraId="77967DB6" w14:textId="77777777" w:rsidR="000C7FBD" w:rsidRDefault="000C7FBD" w:rsidP="000C7FBD">
      <w:pPr>
        <w:ind w:left="720"/>
        <w:rPr>
          <w:rFonts w:ascii="Palatino Linotype" w:hAnsi="Palatino Linotype"/>
        </w:rPr>
      </w:pPr>
      <w:r w:rsidRPr="00993AC8">
        <w:rPr>
          <w:rFonts w:ascii="Palatino Linotype" w:hAnsi="Palatino Linotype"/>
        </w:rPr>
        <w:t>This project: 1) aligns WECC-0141 FAC-501-WECC-3, Transmission Maintenance with changes proposed as part of the WECC-0149 Table Revision Project, and 2) creates an enhanced Table Revision Process for modifying the content of the table known as the Major WECC Transfer Paths in the Bulk Electric System.</w:t>
      </w:r>
    </w:p>
    <w:p w14:paraId="614D8FE7" w14:textId="77777777" w:rsidR="000C7FBD" w:rsidRDefault="000C7FBD" w:rsidP="00DC6A4E">
      <w:pPr>
        <w:pStyle w:val="Normal2"/>
      </w:pPr>
    </w:p>
    <w:p w14:paraId="7C24500A" w14:textId="289E6EA5" w:rsidR="00DC6A4E" w:rsidRDefault="00DC6A4E" w:rsidP="00DC6A4E">
      <w:pPr>
        <w:pStyle w:val="Normal2"/>
      </w:pPr>
      <w:r>
        <w:t xml:space="preserve">This project was posted for comment </w:t>
      </w:r>
      <w:r w:rsidR="000C7FBD">
        <w:t xml:space="preserve">(Posting 2) </w:t>
      </w:r>
      <w:r>
        <w:t xml:space="preserve">from September 9 through October 10, 2022.   </w:t>
      </w:r>
    </w:p>
    <w:p w14:paraId="181F7B4F" w14:textId="77777777" w:rsidR="00DC6A4E" w:rsidRDefault="00DC6A4E" w:rsidP="00DC6A4E">
      <w:pPr>
        <w:pStyle w:val="Normal2"/>
      </w:pPr>
      <w:r>
        <w:t xml:space="preserve">WECC distributed notice for the posting on August 30, 2022.  The WECC-0149 Table Revision Process (Process) Drafting Team (DT) asked stakeholders to provide feedback on the proposed document(s) through a standardized WECC-provided web portal. </w:t>
      </w:r>
    </w:p>
    <w:p w14:paraId="0F36C6E3" w14:textId="77777777" w:rsidR="000C7FBD" w:rsidRDefault="00DC6A4E" w:rsidP="00DC6A4E">
      <w:pPr>
        <w:pStyle w:val="Normal2"/>
      </w:pPr>
      <w:r>
        <w:t>One comment was received on the Process.  Due to a WECC website outage, the single comment was received via email, from Cain Braveheart representing the Bonneville Power Administration (BPA), to W. Shannon Black, WECC, at 8:37 a.m. (Mountain), October 7, 2022.</w:t>
      </w:r>
      <w:r w:rsidR="000C7FBD">
        <w:t xml:space="preserve">  </w:t>
      </w:r>
    </w:p>
    <w:p w14:paraId="35EF9F8E" w14:textId="1DBDA384" w:rsidR="000C7FBD" w:rsidRDefault="000C7FBD" w:rsidP="00DC6A4E">
      <w:pPr>
        <w:pStyle w:val="Normal2"/>
      </w:pPr>
      <w:r>
        <w:t xml:space="preserve">BPA’s comment was supportive and requested no substantive changes. </w:t>
      </w:r>
    </w:p>
    <w:p w14:paraId="4BE9A5C8" w14:textId="77777777" w:rsidR="000C7FBD" w:rsidRDefault="000C7FBD" w:rsidP="000C7FBD">
      <w:pPr>
        <w:pStyle w:val="Normal2"/>
      </w:pPr>
      <w:r>
        <w:t xml:space="preserve">On October 18, 2022, the WECC-0149 Table Revision Process Drafting Team (DT) agreed by majority vote to forward the project to the WECC Standards Committee (WSC) with a request for ballot.  The project will be placed on the December 2022 WSC agenda. </w:t>
      </w:r>
    </w:p>
    <w:p w14:paraId="5D89BCFA" w14:textId="77777777" w:rsidR="000C7FBD" w:rsidRDefault="000C7FBD" w:rsidP="000C7FBD">
      <w:pPr>
        <w:pStyle w:val="Normal2"/>
      </w:pPr>
      <w:r>
        <w:t xml:space="preserve">If approved, the following calendar dates are projected: </w:t>
      </w:r>
    </w:p>
    <w:p w14:paraId="08239C10" w14:textId="77777777" w:rsidR="000C7FBD" w:rsidRDefault="000C7FBD" w:rsidP="000C7FBD">
      <w:pPr>
        <w:pStyle w:val="Normal2"/>
      </w:pPr>
      <w:r>
        <w:t>•</w:t>
      </w:r>
      <w:r>
        <w:tab/>
        <w:t>Open Ballot Pool</w:t>
      </w:r>
      <w:r>
        <w:tab/>
      </w:r>
      <w:r>
        <w:tab/>
        <w:t>January 3, 2023</w:t>
      </w:r>
    </w:p>
    <w:p w14:paraId="5926D21A" w14:textId="77777777" w:rsidR="000C7FBD" w:rsidRDefault="000C7FBD" w:rsidP="000C7FBD">
      <w:pPr>
        <w:pStyle w:val="Normal2"/>
      </w:pPr>
      <w:r>
        <w:t>•</w:t>
      </w:r>
      <w:r>
        <w:tab/>
        <w:t>Close Ballot Pool</w:t>
      </w:r>
      <w:r>
        <w:tab/>
      </w:r>
      <w:r>
        <w:tab/>
        <w:t>January 17, 2023</w:t>
      </w:r>
    </w:p>
    <w:p w14:paraId="41570371" w14:textId="77777777" w:rsidR="000C7FBD" w:rsidRDefault="000C7FBD" w:rsidP="000C7FBD">
      <w:pPr>
        <w:pStyle w:val="Normal2"/>
      </w:pPr>
      <w:r>
        <w:t>•</w:t>
      </w:r>
      <w:r>
        <w:tab/>
        <w:t>Standards Briefing</w:t>
      </w:r>
      <w:r>
        <w:tab/>
      </w:r>
      <w:r>
        <w:tab/>
        <w:t>January 18, 2023</w:t>
      </w:r>
    </w:p>
    <w:p w14:paraId="422BD147" w14:textId="77777777" w:rsidR="000C7FBD" w:rsidRDefault="000C7FBD" w:rsidP="000C7FBD">
      <w:pPr>
        <w:pStyle w:val="Normal2"/>
      </w:pPr>
      <w:r>
        <w:t>•</w:t>
      </w:r>
      <w:r>
        <w:tab/>
        <w:t>Ballot Open</w:t>
      </w:r>
      <w:r>
        <w:tab/>
      </w:r>
      <w:r>
        <w:tab/>
      </w:r>
      <w:r>
        <w:tab/>
        <w:t>January 19, 2023</w:t>
      </w:r>
    </w:p>
    <w:p w14:paraId="260878B8" w14:textId="77777777" w:rsidR="000C7FBD" w:rsidRDefault="000C7FBD" w:rsidP="000C7FBD">
      <w:pPr>
        <w:pStyle w:val="Normal2"/>
      </w:pPr>
      <w:r>
        <w:t>•</w:t>
      </w:r>
      <w:r>
        <w:tab/>
        <w:t>Ballot Closed</w:t>
      </w:r>
      <w:r>
        <w:tab/>
      </w:r>
      <w:r>
        <w:tab/>
      </w:r>
      <w:r>
        <w:tab/>
        <w:t>February 3, 2023</w:t>
      </w:r>
    </w:p>
    <w:p w14:paraId="4E947BD1" w14:textId="2E0C0236" w:rsidR="000C7FBD" w:rsidRDefault="000C7FBD" w:rsidP="000C7FBD">
      <w:pPr>
        <w:pStyle w:val="Normal2"/>
      </w:pPr>
      <w:r>
        <w:t>•</w:t>
      </w:r>
      <w:r>
        <w:tab/>
        <w:t>WECC Board of Directors</w:t>
      </w:r>
      <w:r>
        <w:tab/>
        <w:t>March 7, 2023</w:t>
      </w:r>
    </w:p>
    <w:p w14:paraId="21CDEE3B" w14:textId="77777777" w:rsidR="009D1A67" w:rsidRPr="009A053D" w:rsidRDefault="004D1AA4" w:rsidP="007864D4">
      <w:pPr>
        <w:pStyle w:val="Heading2"/>
      </w:pPr>
      <w:r w:rsidRPr="009A053D">
        <w:t>Public Comment</w:t>
      </w:r>
    </w:p>
    <w:p w14:paraId="74390FF8" w14:textId="742FB660" w:rsidR="00F83AC5" w:rsidRPr="009A053D" w:rsidRDefault="00922E15" w:rsidP="006E6868">
      <w:pPr>
        <w:pStyle w:val="Normal2"/>
      </w:pPr>
      <w:r>
        <w:t>All DT meetings held per the Procedures are open to the public</w:t>
      </w:r>
      <w:r w:rsidR="00653C47">
        <w:t xml:space="preserve">. </w:t>
      </w:r>
      <w:r>
        <w:t xml:space="preserve">Public comment is solicited on a continuous basis. </w:t>
      </w:r>
    </w:p>
    <w:p w14:paraId="4C268252" w14:textId="77777777" w:rsidR="009D1A67" w:rsidRDefault="009D1A67" w:rsidP="007864D4">
      <w:pPr>
        <w:pStyle w:val="Heading2"/>
      </w:pPr>
      <w:r w:rsidRPr="009A053D">
        <w:t>Review of New Action Items</w:t>
      </w:r>
    </w:p>
    <w:p w14:paraId="4FA58170" w14:textId="2BD774F9" w:rsidR="005264AF" w:rsidRPr="005264AF" w:rsidRDefault="005264AF" w:rsidP="005264AF">
      <w:pPr>
        <w:ind w:left="720"/>
        <w:rPr>
          <w:rFonts w:ascii="Palatino Linotype" w:hAnsi="Palatino Linotype"/>
        </w:rPr>
      </w:pPr>
      <w:bookmarkStart w:id="0" w:name="_Hlk111809750"/>
      <w:r>
        <w:rPr>
          <w:rFonts w:ascii="Palatino Linotype" w:hAnsi="Palatino Linotype"/>
        </w:rPr>
        <w:t>Mr. Black agreed to:</w:t>
      </w:r>
    </w:p>
    <w:p w14:paraId="46115AF6" w14:textId="449DA469" w:rsidR="00DC6A4E" w:rsidRDefault="00DC6A4E" w:rsidP="00FF6300">
      <w:pPr>
        <w:pStyle w:val="ListParagraph"/>
        <w:numPr>
          <w:ilvl w:val="0"/>
          <w:numId w:val="41"/>
        </w:numPr>
        <w:rPr>
          <w:rFonts w:ascii="Palatino Linotype" w:hAnsi="Palatino Linotype"/>
        </w:rPr>
      </w:pPr>
      <w:r>
        <w:rPr>
          <w:rFonts w:ascii="Palatino Linotype" w:hAnsi="Palatino Linotype"/>
        </w:rPr>
        <w:t xml:space="preserve">Forward the project to the </w:t>
      </w:r>
      <w:r w:rsidR="000C7FBD">
        <w:rPr>
          <w:rFonts w:ascii="Palatino Linotype" w:hAnsi="Palatino Linotype"/>
        </w:rPr>
        <w:t xml:space="preserve">WSC </w:t>
      </w:r>
      <w:r>
        <w:rPr>
          <w:rFonts w:ascii="Palatino Linotype" w:hAnsi="Palatino Linotype"/>
        </w:rPr>
        <w:t xml:space="preserve">with a request for ballot.  The WSC is scheduled to meet in December 2022. </w:t>
      </w:r>
    </w:p>
    <w:p w14:paraId="7E6B4F20" w14:textId="77777777" w:rsidR="009D1A67" w:rsidRPr="009A053D" w:rsidRDefault="00BB045C" w:rsidP="007864D4">
      <w:pPr>
        <w:pStyle w:val="Heading2"/>
      </w:pPr>
      <w:bookmarkStart w:id="1" w:name="_Hlk14429188"/>
      <w:bookmarkEnd w:id="0"/>
      <w:r w:rsidRPr="009A053D">
        <w:t>Upcoming</w:t>
      </w:r>
      <w:r w:rsidR="009D1A67" w:rsidRPr="009A053D">
        <w:t xml:space="preserve"> Meetings</w:t>
      </w:r>
    </w:p>
    <w:p w14:paraId="797D6B33" w14:textId="77777777" w:rsidR="000C7FBD" w:rsidRDefault="000C7FBD" w:rsidP="00EE3F75">
      <w:pPr>
        <w:pStyle w:val="MeetingsLeader"/>
      </w:pPr>
      <w:r>
        <w:t xml:space="preserve">Drafting has concluded.  No further meetings are anticipated. </w:t>
      </w:r>
    </w:p>
    <w:p w14:paraId="4947B4F6" w14:textId="00312C4E" w:rsidR="00EE3F75" w:rsidRPr="009A053D" w:rsidRDefault="000C7FBD" w:rsidP="00EE3F75">
      <w:pPr>
        <w:pStyle w:val="MeetingsLeader"/>
      </w:pPr>
      <w:r>
        <w:t xml:space="preserve">Absent objection, these minutes will be deemed approved October 21, 2022. </w:t>
      </w:r>
    </w:p>
    <w:bookmarkEnd w:id="1"/>
    <w:p w14:paraId="2C807EDF" w14:textId="77777777" w:rsidR="009D1A67" w:rsidRPr="009A053D" w:rsidRDefault="009D1A67" w:rsidP="007864D4">
      <w:pPr>
        <w:pStyle w:val="Heading2"/>
      </w:pPr>
      <w:r w:rsidRPr="009A053D">
        <w:lastRenderedPageBreak/>
        <w:t>Adjourn</w:t>
      </w:r>
    </w:p>
    <w:p w14:paraId="588FF293" w14:textId="01AEDBB7" w:rsidR="006E6868" w:rsidRDefault="006638F7" w:rsidP="006E6868">
      <w:pPr>
        <w:pStyle w:val="Normal2"/>
      </w:pPr>
      <w:r>
        <w:t>The meeting adjourned without objection</w:t>
      </w:r>
      <w:r w:rsidR="00B05F25">
        <w:t>.</w:t>
      </w:r>
      <w:r w:rsidR="00653C47">
        <w:t xml:space="preserve"> </w:t>
      </w:r>
    </w:p>
    <w:p w14:paraId="2559C8C5" w14:textId="77777777" w:rsidR="009D1A67" w:rsidRPr="006E6868" w:rsidRDefault="009D1A67" w:rsidP="00A61C50">
      <w:pPr>
        <w:pStyle w:val="Heading2"/>
        <w:numPr>
          <w:ilvl w:val="0"/>
          <w:numId w:val="0"/>
        </w:numPr>
        <w:ind w:left="720" w:hanging="720"/>
      </w:pPr>
      <w:r w:rsidRPr="006E6868">
        <w:br w:type="page"/>
      </w:r>
      <w:r w:rsidR="006E6868">
        <w:rPr>
          <w:rStyle w:val="Heading1Char"/>
          <w:b/>
          <w:bCs/>
        </w:rPr>
        <w:lastRenderedPageBreak/>
        <w:t>Exhibit A: Attendance List</w:t>
      </w:r>
    </w:p>
    <w:p w14:paraId="0077FF78" w14:textId="77777777" w:rsidR="00BE1490" w:rsidRPr="00D52D4E" w:rsidRDefault="00BE1490" w:rsidP="00975F6B">
      <w:pPr>
        <w:pStyle w:val="Heading3"/>
      </w:pPr>
      <w:r w:rsidRPr="00D52D4E">
        <w:t>Members in Attendance</w:t>
      </w:r>
    </w:p>
    <w:p w14:paraId="71921E67" w14:textId="77777777" w:rsidR="00D52D4E" w:rsidRPr="00D52D4E" w:rsidRDefault="00D52D4E" w:rsidP="00D52D4E">
      <w:pPr>
        <w:pStyle w:val="AttendanceLeader"/>
      </w:pPr>
      <w:bookmarkStart w:id="2" w:name="_Hlk112754010"/>
      <w:r w:rsidRPr="00D52D4E">
        <w:t>Christopher Fecke-Stoudt</w:t>
      </w:r>
      <w:r w:rsidRPr="00D52D4E">
        <w:tab/>
        <w:t>Inactive / No longer at Arizona Public Service</w:t>
      </w:r>
      <w:r w:rsidRPr="00D52D4E">
        <w:rPr>
          <w:rStyle w:val="FootnoteReference"/>
        </w:rPr>
        <w:footnoteReference w:id="1"/>
      </w:r>
    </w:p>
    <w:p w14:paraId="077A8A7D" w14:textId="335A7AF4" w:rsidR="00B0220F" w:rsidRPr="00D52D4E" w:rsidRDefault="00B0220F" w:rsidP="00B0220F">
      <w:pPr>
        <w:pStyle w:val="AttendanceLeader"/>
      </w:pPr>
      <w:r w:rsidRPr="00D52D4E">
        <w:rPr>
          <w:rFonts w:cs="Arial"/>
          <w:lang w:val="en-CA"/>
        </w:rPr>
        <w:t>Linda Henrickson</w:t>
      </w:r>
      <w:r w:rsidRPr="00D52D4E">
        <w:tab/>
        <w:t>Arizona Public Service</w:t>
      </w:r>
    </w:p>
    <w:bookmarkEnd w:id="2"/>
    <w:p w14:paraId="6D6221FF" w14:textId="77777777" w:rsidR="009D1A67" w:rsidRPr="00D52D4E" w:rsidRDefault="00750F04" w:rsidP="00975F6B">
      <w:pPr>
        <w:pStyle w:val="Heading3"/>
      </w:pPr>
      <w:r w:rsidRPr="00D52D4E">
        <w:t>Members not in Attendance</w:t>
      </w:r>
    </w:p>
    <w:p w14:paraId="3A2B6B70" w14:textId="77777777" w:rsidR="00D52D4E" w:rsidRPr="00D52D4E" w:rsidRDefault="00D52D4E" w:rsidP="00D52D4E">
      <w:pPr>
        <w:pStyle w:val="AttendanceLeader"/>
      </w:pPr>
      <w:r w:rsidRPr="00D52D4E">
        <w:t>Alan Wahlstrom</w:t>
      </w:r>
      <w:r w:rsidRPr="00D52D4E">
        <w:tab/>
        <w:t>Southwest Power Pool</w:t>
      </w:r>
    </w:p>
    <w:p w14:paraId="0DCAEE2D" w14:textId="77777777" w:rsidR="00B05F25" w:rsidRPr="00D52D4E" w:rsidRDefault="00B05F25" w:rsidP="00B05F25">
      <w:pPr>
        <w:pStyle w:val="AttendanceLeader"/>
      </w:pPr>
      <w:r w:rsidRPr="00D52D4E">
        <w:t>Diana Torres</w:t>
      </w:r>
      <w:r w:rsidRPr="00D52D4E">
        <w:tab/>
        <w:t>Imperial Irrigation District</w:t>
      </w:r>
    </w:p>
    <w:p w14:paraId="3D1FF0AA" w14:textId="46A01F8E" w:rsidR="00B05F25" w:rsidRPr="00D52D4E" w:rsidRDefault="00B05F25" w:rsidP="00B05F25">
      <w:pPr>
        <w:pStyle w:val="AttendanceLeader"/>
      </w:pPr>
      <w:r w:rsidRPr="00D52D4E">
        <w:t>Jason V. Saline</w:t>
      </w:r>
      <w:r w:rsidRPr="00D52D4E">
        <w:tab/>
        <w:t>Tucson Electric Power Company</w:t>
      </w:r>
    </w:p>
    <w:p w14:paraId="52D67D56" w14:textId="3DD5E576" w:rsidR="00EE3F75" w:rsidRPr="00D52D4E" w:rsidRDefault="00EE3F75" w:rsidP="00EE3F75">
      <w:pPr>
        <w:pStyle w:val="AttendanceLeader"/>
      </w:pPr>
      <w:r w:rsidRPr="00D52D4E">
        <w:t>Sean Erickson</w:t>
      </w:r>
      <w:r w:rsidRPr="00D52D4E">
        <w:tab/>
        <w:t>Western Area Power Administration</w:t>
      </w:r>
      <w:r w:rsidR="00D52D4E">
        <w:rPr>
          <w:rStyle w:val="FootnoteReference"/>
        </w:rPr>
        <w:footnoteReference w:id="2"/>
      </w:r>
    </w:p>
    <w:p w14:paraId="079F8587" w14:textId="77777777" w:rsidR="009D1A67" w:rsidRPr="00D52D4E" w:rsidRDefault="009D1A67" w:rsidP="00975F6B">
      <w:pPr>
        <w:pStyle w:val="Heading3"/>
      </w:pPr>
      <w:r w:rsidRPr="00D52D4E">
        <w:t>Others in Attendance</w:t>
      </w:r>
    </w:p>
    <w:p w14:paraId="7A9500D8" w14:textId="33D39A08" w:rsidR="0068042A" w:rsidRDefault="00EE3F75" w:rsidP="0068042A">
      <w:pPr>
        <w:pStyle w:val="AttendanceLeader"/>
      </w:pPr>
      <w:r w:rsidRPr="00D52D4E">
        <w:t>Syed Ahmed</w:t>
      </w:r>
      <w:r w:rsidR="0068042A" w:rsidRPr="00D52D4E">
        <w:tab/>
        <w:t>FERC</w:t>
      </w:r>
    </w:p>
    <w:p w14:paraId="76EBDA4B" w14:textId="77777777" w:rsidR="0068042A" w:rsidRDefault="0068042A" w:rsidP="005572A8">
      <w:pPr>
        <w:pStyle w:val="AttendanceLeader"/>
        <w:jc w:val="center"/>
      </w:pPr>
    </w:p>
    <w:p w14:paraId="51227046" w14:textId="77777777" w:rsidR="00166279" w:rsidRDefault="00166279" w:rsidP="007864D4">
      <w:pPr>
        <w:pStyle w:val="AttendanceLeader"/>
      </w:pPr>
    </w:p>
    <w:p w14:paraId="3139FF2D" w14:textId="77777777" w:rsidR="00E97E61" w:rsidRPr="009D1A67" w:rsidRDefault="00E97E61" w:rsidP="00201D41">
      <w:pPr>
        <w:pStyle w:val="Normal2"/>
      </w:pPr>
    </w:p>
    <w:sectPr w:rsidR="00E97E61" w:rsidRPr="009D1A67" w:rsidSect="009C4589">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9578" w14:textId="77777777" w:rsidR="006231E1" w:rsidRDefault="006231E1" w:rsidP="00997CD1">
      <w:pPr>
        <w:spacing w:after="0" w:line="240" w:lineRule="auto"/>
      </w:pPr>
      <w:r>
        <w:separator/>
      </w:r>
    </w:p>
  </w:endnote>
  <w:endnote w:type="continuationSeparator" w:id="0">
    <w:p w14:paraId="5DE7AA91" w14:textId="77777777" w:rsidR="006231E1" w:rsidRDefault="006231E1"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DA6B" w14:textId="77777777" w:rsidR="00997CD1" w:rsidRPr="00201D41" w:rsidRDefault="009A053D" w:rsidP="00201D41">
    <w:pPr>
      <w:pStyle w:val="Footer"/>
    </w:pPr>
    <w:r w:rsidRPr="00201D41">
      <w:rPr>
        <w:noProof/>
        <w:u w:val="none"/>
      </w:rPr>
      <w:drawing>
        <wp:inline distT="0" distB="0" distL="0" distR="0" wp14:anchorId="1AD6EDF8" wp14:editId="427410A5">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201D41">
      <w:tab/>
    </w:r>
    <w:r w:rsidRPr="00201D41">
      <w:tab/>
    </w:r>
    <w:r w:rsidR="00666C5A" w:rsidRPr="00201D41">
      <w:rPr>
        <w:u w:val="none"/>
      </w:rPr>
      <w:t xml:space="preserve"> </w:t>
    </w:r>
    <w:r w:rsidR="00666C5A" w:rsidRPr="00201D41">
      <w:rPr>
        <w:u w:val="none"/>
      </w:rPr>
      <w:fldChar w:fldCharType="begin"/>
    </w:r>
    <w:r w:rsidR="00666C5A" w:rsidRPr="00201D41">
      <w:rPr>
        <w:u w:val="none"/>
      </w:rPr>
      <w:instrText xml:space="preserve"> PAGE   \* MERGEFORMAT </w:instrText>
    </w:r>
    <w:r w:rsidR="00666C5A" w:rsidRPr="00201D41">
      <w:rPr>
        <w:u w:val="none"/>
      </w:rPr>
      <w:fldChar w:fldCharType="separate"/>
    </w:r>
    <w:r w:rsidR="00DB19B0">
      <w:rPr>
        <w:noProof/>
        <w:u w:val="none"/>
      </w:rPr>
      <w:t>2</w:t>
    </w:r>
    <w:r w:rsidR="00666C5A" w:rsidRPr="00201D41">
      <w:rPr>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B500" w14:textId="77777777" w:rsidR="009A053D" w:rsidRPr="00201D41" w:rsidRDefault="009C4589" w:rsidP="00201D41">
    <w:pPr>
      <w:pStyle w:val="Footer"/>
    </w:pPr>
    <w:r w:rsidRPr="00201D41">
      <w:rPr>
        <w:noProof/>
      </w:rPr>
      <w:drawing>
        <wp:anchor distT="0" distB="0" distL="114300" distR="114300" simplePos="0" relativeHeight="251666432" behindDoc="0" locked="0" layoutInCell="1" allowOverlap="1" wp14:anchorId="571CFE2C" wp14:editId="0E4FCF81">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tab/>
    </w:r>
    <w:r w:rsidR="00201D4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CAF3" w14:textId="77777777" w:rsidR="006231E1" w:rsidRDefault="006231E1" w:rsidP="00997CD1">
      <w:pPr>
        <w:spacing w:after="0" w:line="240" w:lineRule="auto"/>
      </w:pPr>
      <w:r>
        <w:separator/>
      </w:r>
    </w:p>
  </w:footnote>
  <w:footnote w:type="continuationSeparator" w:id="0">
    <w:p w14:paraId="3A24D8AE" w14:textId="77777777" w:rsidR="006231E1" w:rsidRDefault="006231E1" w:rsidP="00997CD1">
      <w:pPr>
        <w:spacing w:after="0" w:line="240" w:lineRule="auto"/>
      </w:pPr>
      <w:r>
        <w:continuationSeparator/>
      </w:r>
    </w:p>
  </w:footnote>
  <w:footnote w:id="1">
    <w:p w14:paraId="0DA544C4" w14:textId="77777777" w:rsidR="00D52D4E" w:rsidRDefault="00D52D4E" w:rsidP="00D52D4E">
      <w:pPr>
        <w:pStyle w:val="FootnoteText"/>
      </w:pPr>
      <w:r>
        <w:rPr>
          <w:rStyle w:val="FootnoteReference"/>
        </w:rPr>
        <w:footnoteRef/>
      </w:r>
      <w:r>
        <w:t xml:space="preserve"> </w:t>
      </w:r>
      <w:bookmarkStart w:id="3" w:name="_Hlk108617128"/>
      <w:r>
        <w:t xml:space="preserve">On July 12, 2022, W. Shannon Black was informed that </w:t>
      </w:r>
      <w:r w:rsidRPr="008B7D56">
        <w:t xml:space="preserve">Christopher Fecke-Stoudt </w:t>
      </w:r>
      <w:r>
        <w:t>had accepted employment at Salt River Project.</w:t>
      </w:r>
      <w:bookmarkEnd w:id="3"/>
    </w:p>
  </w:footnote>
  <w:footnote w:id="2">
    <w:p w14:paraId="51D0C3E5" w14:textId="336C1024" w:rsidR="00D52D4E" w:rsidRDefault="00D52D4E">
      <w:pPr>
        <w:pStyle w:val="FootnoteText"/>
      </w:pPr>
      <w:r>
        <w:rPr>
          <w:rStyle w:val="FootnoteReference"/>
        </w:rPr>
        <w:footnoteRef/>
      </w:r>
      <w:r>
        <w:t xml:space="preserve"> Mr. Erickson informed Mr. Black via email that Mr. Erickson was in favor of forwarding the project to the WSC with a request for ballot.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DFE5" w14:textId="011D0CAA" w:rsidR="00161415" w:rsidRDefault="00161415" w:rsidP="009B4695">
    <w:pPr>
      <w:pStyle w:val="Header"/>
    </w:pPr>
    <w:r>
      <w:t>WECC-01</w:t>
    </w:r>
    <w:r w:rsidR="009656A3">
      <w:t>4</w:t>
    </w:r>
    <w:r w:rsidR="00287308">
      <w:t>9</w:t>
    </w:r>
  </w:p>
  <w:p w14:paraId="2FC631EE" w14:textId="0D270665" w:rsidR="00997CD1" w:rsidRPr="00BE0C4D" w:rsidRDefault="00161415" w:rsidP="009B4695">
    <w:pPr>
      <w:pStyle w:val="Header"/>
      <w:rPr>
        <w:noProof/>
      </w:rPr>
    </w:pPr>
    <w:r>
      <w:t xml:space="preserve">Drafting Team </w:t>
    </w:r>
    <w:r w:rsidR="009D1A67" w:rsidRPr="00BE0C4D">
      <w:t xml:space="preserve">Meeting Minutes </w:t>
    </w:r>
    <w:r w:rsidR="00DC6A4E">
      <w:t>October 18,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0F0F" w14:textId="306E079A" w:rsidR="00975F6B" w:rsidRPr="00BE0C4D" w:rsidRDefault="00B54634" w:rsidP="00B54634">
    <w:pPr>
      <w:pStyle w:val="PG1Header"/>
      <w:jc w:val="left"/>
    </w:pPr>
    <w:r>
      <w:rPr>
        <w:noProof/>
      </w:rPr>
      <w:drawing>
        <wp:anchor distT="0" distB="0" distL="114300" distR="114300" simplePos="0" relativeHeight="251667456" behindDoc="1" locked="0" layoutInCell="1" allowOverlap="1" wp14:anchorId="5890E175" wp14:editId="49262317">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58C0F" w14:textId="6F88E080" w:rsidR="00EA6A5D" w:rsidRDefault="00EA6A5D" w:rsidP="009B4695">
    <w:pPr>
      <w:pStyle w:val="PG1Header"/>
    </w:pPr>
    <w:r>
      <w:t>WECC-01</w:t>
    </w:r>
    <w:r w:rsidR="009656A3">
      <w:t>4</w:t>
    </w:r>
    <w:r w:rsidR="00AC31B1">
      <w:t>9</w:t>
    </w:r>
  </w:p>
  <w:p w14:paraId="1C2B24F2" w14:textId="77777777" w:rsidR="00E97E61" w:rsidRPr="00BE0C4D" w:rsidRDefault="00EA6A5D" w:rsidP="009B4695">
    <w:pPr>
      <w:pStyle w:val="PG1Header"/>
    </w:pPr>
    <w:r>
      <w:t>Drafting Team</w:t>
    </w:r>
  </w:p>
  <w:p w14:paraId="3E351761" w14:textId="77777777" w:rsidR="00E97E61" w:rsidRPr="00BE0C4D" w:rsidRDefault="009D1A67" w:rsidP="009B4695">
    <w:pPr>
      <w:pStyle w:val="PG1Header"/>
    </w:pPr>
    <w:r w:rsidRPr="00BE0C4D">
      <w:t>Meeting</w:t>
    </w:r>
    <w:r w:rsidR="00FB74FE" w:rsidRPr="00BE0C4D">
      <w:t xml:space="preserve"> </w:t>
    </w:r>
    <w:r w:rsidRPr="00BE0C4D">
      <w:t>Minutes</w:t>
    </w:r>
  </w:p>
  <w:p w14:paraId="15CEB850" w14:textId="56A11CB9" w:rsidR="009D1A67" w:rsidRPr="00BE0C4D" w:rsidRDefault="0019490D" w:rsidP="009B4695">
    <w:pPr>
      <w:pStyle w:val="PG1Header"/>
    </w:pPr>
    <w:r>
      <w:t>Virtual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0">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1D9A0A0A"/>
    <w:lvl w:ilvl="0">
      <w:numFmt w:val="bullet"/>
      <w:lvlText w:val=""/>
      <w:lvlJc w:val="left"/>
      <w:pPr>
        <w:ind w:left="840" w:hanging="360"/>
      </w:pPr>
      <w:rPr>
        <w:rFonts w:ascii="Symbol" w:hAnsi="Symbol"/>
        <w:b w:val="0"/>
        <w:w w:val="100"/>
        <w:sz w:val="24"/>
      </w:rPr>
    </w:lvl>
    <w:lvl w:ilvl="1">
      <w:start w:val="1"/>
      <w:numFmt w:val="bullet"/>
      <w:lvlText w:val="o"/>
      <w:lvlJc w:val="left"/>
      <w:pPr>
        <w:ind w:left="1540" w:hanging="360"/>
      </w:pPr>
      <w:rPr>
        <w:rFonts w:ascii="Courier New" w:hAnsi="Courier New" w:hint="default"/>
        <w:b w:val="0"/>
        <w:w w:val="100"/>
        <w:sz w:val="24"/>
      </w:rPr>
    </w:lvl>
    <w:lvl w:ilvl="2">
      <w:numFmt w:val="bullet"/>
      <w:lvlText w:val="•"/>
      <w:lvlJc w:val="left"/>
      <w:pPr>
        <w:ind w:left="2597" w:hanging="360"/>
      </w:pPr>
    </w:lvl>
    <w:lvl w:ilvl="3">
      <w:numFmt w:val="bullet"/>
      <w:lvlText w:val="•"/>
      <w:lvlJc w:val="left"/>
      <w:pPr>
        <w:ind w:left="3655" w:hanging="360"/>
      </w:pPr>
    </w:lvl>
    <w:lvl w:ilvl="4">
      <w:numFmt w:val="bullet"/>
      <w:lvlText w:val="•"/>
      <w:lvlJc w:val="left"/>
      <w:pPr>
        <w:ind w:left="4713" w:hanging="360"/>
      </w:pPr>
    </w:lvl>
    <w:lvl w:ilvl="5">
      <w:numFmt w:val="bullet"/>
      <w:lvlText w:val="•"/>
      <w:lvlJc w:val="left"/>
      <w:pPr>
        <w:ind w:left="5771" w:hanging="360"/>
      </w:pPr>
    </w:lvl>
    <w:lvl w:ilvl="6">
      <w:numFmt w:val="bullet"/>
      <w:lvlText w:val="•"/>
      <w:lvlJc w:val="left"/>
      <w:pPr>
        <w:ind w:left="6828" w:hanging="360"/>
      </w:pPr>
    </w:lvl>
    <w:lvl w:ilvl="7">
      <w:numFmt w:val="bullet"/>
      <w:lvlText w:val="•"/>
      <w:lvlJc w:val="left"/>
      <w:pPr>
        <w:ind w:left="7886" w:hanging="360"/>
      </w:pPr>
    </w:lvl>
    <w:lvl w:ilvl="8">
      <w:numFmt w:val="bullet"/>
      <w:lvlText w:val="•"/>
      <w:lvlJc w:val="left"/>
      <w:pPr>
        <w:ind w:left="8944" w:hanging="360"/>
      </w:pPr>
    </w:lvl>
  </w:abstractNum>
  <w:abstractNum w:abstractNumId="11" w15:restartNumberingAfterBreak="0">
    <w:nsid w:val="01B53972"/>
    <w:multiLevelType w:val="hybridMultilevel"/>
    <w:tmpl w:val="33084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3EE68A8"/>
    <w:multiLevelType w:val="hybridMultilevel"/>
    <w:tmpl w:val="293EB7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6797643"/>
    <w:multiLevelType w:val="hybridMultilevel"/>
    <w:tmpl w:val="4BD0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DF40F4"/>
    <w:multiLevelType w:val="hybridMultilevel"/>
    <w:tmpl w:val="6D6E9D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8" w15:restartNumberingAfterBreak="0">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994AEC"/>
    <w:multiLevelType w:val="hybridMultilevel"/>
    <w:tmpl w:val="219A832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34FF5DD7"/>
    <w:multiLevelType w:val="hybridMultilevel"/>
    <w:tmpl w:val="726409C8"/>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3" w15:restartNumberingAfterBreak="0">
    <w:nsid w:val="35C451F4"/>
    <w:multiLevelType w:val="hybridMultilevel"/>
    <w:tmpl w:val="7FBA9600"/>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4" w15:restartNumberingAfterBreak="0">
    <w:nsid w:val="3D9243C9"/>
    <w:multiLevelType w:val="hybridMultilevel"/>
    <w:tmpl w:val="5F2CB07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5" w15:restartNumberingAfterBreak="0">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A08AF"/>
    <w:multiLevelType w:val="hybridMultilevel"/>
    <w:tmpl w:val="3CEE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B1A21"/>
    <w:multiLevelType w:val="multilevel"/>
    <w:tmpl w:val="97B217D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22F602C"/>
    <w:multiLevelType w:val="hybridMultilevel"/>
    <w:tmpl w:val="70A840C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2D41ABC"/>
    <w:multiLevelType w:val="hybridMultilevel"/>
    <w:tmpl w:val="9C24A1D4"/>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31" w15:restartNumberingAfterBreak="0">
    <w:nsid w:val="63C53A24"/>
    <w:multiLevelType w:val="hybridMultilevel"/>
    <w:tmpl w:val="926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63EB4"/>
    <w:multiLevelType w:val="hybridMultilevel"/>
    <w:tmpl w:val="8F66E5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37484"/>
    <w:multiLevelType w:val="hybridMultilevel"/>
    <w:tmpl w:val="75941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7F7936"/>
    <w:multiLevelType w:val="hybridMultilevel"/>
    <w:tmpl w:val="A768DA4A"/>
    <w:lvl w:ilvl="0" w:tplc="AB100BF4">
      <w:start w:val="1"/>
      <w:numFmt w:val="bullet"/>
      <w:lvlText w:val="●"/>
      <w:lvlJc w:val="left"/>
      <w:pPr>
        <w:tabs>
          <w:tab w:val="num" w:pos="720"/>
        </w:tabs>
        <w:ind w:left="720" w:hanging="360"/>
      </w:pPr>
      <w:rPr>
        <w:rFonts w:ascii="Arial" w:hAnsi="Arial" w:hint="default"/>
      </w:rPr>
    </w:lvl>
    <w:lvl w:ilvl="1" w:tplc="154420B2">
      <w:start w:val="1"/>
      <w:numFmt w:val="bullet"/>
      <w:lvlText w:val="●"/>
      <w:lvlJc w:val="left"/>
      <w:pPr>
        <w:tabs>
          <w:tab w:val="num" w:pos="1440"/>
        </w:tabs>
        <w:ind w:left="1440" w:hanging="360"/>
      </w:pPr>
      <w:rPr>
        <w:rFonts w:ascii="Arial" w:hAnsi="Arial" w:hint="default"/>
      </w:rPr>
    </w:lvl>
    <w:lvl w:ilvl="2" w:tplc="D1227B08" w:tentative="1">
      <w:start w:val="1"/>
      <w:numFmt w:val="bullet"/>
      <w:lvlText w:val="●"/>
      <w:lvlJc w:val="left"/>
      <w:pPr>
        <w:tabs>
          <w:tab w:val="num" w:pos="2160"/>
        </w:tabs>
        <w:ind w:left="2160" w:hanging="360"/>
      </w:pPr>
      <w:rPr>
        <w:rFonts w:ascii="Arial" w:hAnsi="Arial" w:hint="default"/>
      </w:rPr>
    </w:lvl>
    <w:lvl w:ilvl="3" w:tplc="7F764BEA" w:tentative="1">
      <w:start w:val="1"/>
      <w:numFmt w:val="bullet"/>
      <w:lvlText w:val="●"/>
      <w:lvlJc w:val="left"/>
      <w:pPr>
        <w:tabs>
          <w:tab w:val="num" w:pos="2880"/>
        </w:tabs>
        <w:ind w:left="2880" w:hanging="360"/>
      </w:pPr>
      <w:rPr>
        <w:rFonts w:ascii="Arial" w:hAnsi="Arial" w:hint="default"/>
      </w:rPr>
    </w:lvl>
    <w:lvl w:ilvl="4" w:tplc="C5BA291E" w:tentative="1">
      <w:start w:val="1"/>
      <w:numFmt w:val="bullet"/>
      <w:lvlText w:val="●"/>
      <w:lvlJc w:val="left"/>
      <w:pPr>
        <w:tabs>
          <w:tab w:val="num" w:pos="3600"/>
        </w:tabs>
        <w:ind w:left="3600" w:hanging="360"/>
      </w:pPr>
      <w:rPr>
        <w:rFonts w:ascii="Arial" w:hAnsi="Arial" w:hint="default"/>
      </w:rPr>
    </w:lvl>
    <w:lvl w:ilvl="5" w:tplc="E8849E7C" w:tentative="1">
      <w:start w:val="1"/>
      <w:numFmt w:val="bullet"/>
      <w:lvlText w:val="●"/>
      <w:lvlJc w:val="left"/>
      <w:pPr>
        <w:tabs>
          <w:tab w:val="num" w:pos="4320"/>
        </w:tabs>
        <w:ind w:left="4320" w:hanging="360"/>
      </w:pPr>
      <w:rPr>
        <w:rFonts w:ascii="Arial" w:hAnsi="Arial" w:hint="default"/>
      </w:rPr>
    </w:lvl>
    <w:lvl w:ilvl="6" w:tplc="90B4C644" w:tentative="1">
      <w:start w:val="1"/>
      <w:numFmt w:val="bullet"/>
      <w:lvlText w:val="●"/>
      <w:lvlJc w:val="left"/>
      <w:pPr>
        <w:tabs>
          <w:tab w:val="num" w:pos="5040"/>
        </w:tabs>
        <w:ind w:left="5040" w:hanging="360"/>
      </w:pPr>
      <w:rPr>
        <w:rFonts w:ascii="Arial" w:hAnsi="Arial" w:hint="default"/>
      </w:rPr>
    </w:lvl>
    <w:lvl w:ilvl="7" w:tplc="97B22C5A" w:tentative="1">
      <w:start w:val="1"/>
      <w:numFmt w:val="bullet"/>
      <w:lvlText w:val="●"/>
      <w:lvlJc w:val="left"/>
      <w:pPr>
        <w:tabs>
          <w:tab w:val="num" w:pos="5760"/>
        </w:tabs>
        <w:ind w:left="5760" w:hanging="360"/>
      </w:pPr>
      <w:rPr>
        <w:rFonts w:ascii="Arial" w:hAnsi="Arial" w:hint="default"/>
      </w:rPr>
    </w:lvl>
    <w:lvl w:ilvl="8" w:tplc="CDBAF4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0303843">
    <w:abstractNumId w:val="15"/>
  </w:num>
  <w:num w:numId="2" w16cid:durableId="186599268">
    <w:abstractNumId w:val="14"/>
  </w:num>
  <w:num w:numId="3" w16cid:durableId="1515916612">
    <w:abstractNumId w:val="9"/>
  </w:num>
  <w:num w:numId="4" w16cid:durableId="1762793541">
    <w:abstractNumId w:val="7"/>
  </w:num>
  <w:num w:numId="5" w16cid:durableId="1053848401">
    <w:abstractNumId w:val="6"/>
  </w:num>
  <w:num w:numId="6" w16cid:durableId="1792088219">
    <w:abstractNumId w:val="5"/>
  </w:num>
  <w:num w:numId="7" w16cid:durableId="1593395105">
    <w:abstractNumId w:val="4"/>
  </w:num>
  <w:num w:numId="8" w16cid:durableId="1898054282">
    <w:abstractNumId w:val="8"/>
  </w:num>
  <w:num w:numId="9" w16cid:durableId="1585798773">
    <w:abstractNumId w:val="3"/>
  </w:num>
  <w:num w:numId="10" w16cid:durableId="1699504722">
    <w:abstractNumId w:val="2"/>
  </w:num>
  <w:num w:numId="11" w16cid:durableId="2135906413">
    <w:abstractNumId w:val="1"/>
  </w:num>
  <w:num w:numId="12" w16cid:durableId="891843850">
    <w:abstractNumId w:val="0"/>
  </w:num>
  <w:num w:numId="13" w16cid:durableId="440028322">
    <w:abstractNumId w:val="17"/>
  </w:num>
  <w:num w:numId="14" w16cid:durableId="1313827796">
    <w:abstractNumId w:val="20"/>
  </w:num>
  <w:num w:numId="15" w16cid:durableId="1084380534">
    <w:abstractNumId w:val="28"/>
  </w:num>
  <w:num w:numId="16" w16cid:durableId="651522417">
    <w:abstractNumId w:val="19"/>
  </w:num>
  <w:num w:numId="17" w16cid:durableId="261843305">
    <w:abstractNumId w:val="34"/>
  </w:num>
  <w:num w:numId="18" w16cid:durableId="545332459">
    <w:abstractNumId w:val="38"/>
  </w:num>
  <w:num w:numId="19" w16cid:durableId="1129010151">
    <w:abstractNumId w:val="33"/>
  </w:num>
  <w:num w:numId="20" w16cid:durableId="945696667">
    <w:abstractNumId w:val="25"/>
  </w:num>
  <w:num w:numId="21" w16cid:durableId="860554537">
    <w:abstractNumId w:val="37"/>
  </w:num>
  <w:num w:numId="22" w16cid:durableId="1741176306">
    <w:abstractNumId w:val="18"/>
  </w:num>
  <w:num w:numId="23" w16cid:durableId="1333873501">
    <w:abstractNumId w:val="36"/>
  </w:num>
  <w:num w:numId="24" w16cid:durableId="1725257504">
    <w:abstractNumId w:val="26"/>
  </w:num>
  <w:num w:numId="25" w16cid:durableId="1450003770">
    <w:abstractNumId w:val="11"/>
  </w:num>
  <w:num w:numId="26" w16cid:durableId="1396703307">
    <w:abstractNumId w:val="24"/>
  </w:num>
  <w:num w:numId="27" w16cid:durableId="1040824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5766618">
    <w:abstractNumId w:val="23"/>
  </w:num>
  <w:num w:numId="29" w16cid:durableId="151333237">
    <w:abstractNumId w:val="31"/>
  </w:num>
  <w:num w:numId="30" w16cid:durableId="1091311935">
    <w:abstractNumId w:val="29"/>
  </w:num>
  <w:num w:numId="31" w16cid:durableId="761296838">
    <w:abstractNumId w:val="13"/>
  </w:num>
  <w:num w:numId="32" w16cid:durableId="1395543469">
    <w:abstractNumId w:val="30"/>
  </w:num>
  <w:num w:numId="33" w16cid:durableId="137043047">
    <w:abstractNumId w:val="10"/>
  </w:num>
  <w:num w:numId="34" w16cid:durableId="676883082">
    <w:abstractNumId w:val="27"/>
  </w:num>
  <w:num w:numId="35" w16cid:durableId="17871885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0664865">
    <w:abstractNumId w:val="12"/>
  </w:num>
  <w:num w:numId="37" w16cid:durableId="1818763824">
    <w:abstractNumId w:val="16"/>
  </w:num>
  <w:num w:numId="38" w16cid:durableId="459885707">
    <w:abstractNumId w:val="22"/>
  </w:num>
  <w:num w:numId="39" w16cid:durableId="1196963984">
    <w:abstractNumId w:val="32"/>
  </w:num>
  <w:num w:numId="40" w16cid:durableId="34937654">
    <w:abstractNumId w:val="21"/>
  </w:num>
  <w:num w:numId="41" w16cid:durableId="38325628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5D"/>
    <w:rsid w:val="00016143"/>
    <w:rsid w:val="0002626E"/>
    <w:rsid w:val="00031AFB"/>
    <w:rsid w:val="00034CEF"/>
    <w:rsid w:val="00036FF5"/>
    <w:rsid w:val="00086AA6"/>
    <w:rsid w:val="000A3E72"/>
    <w:rsid w:val="000A753D"/>
    <w:rsid w:val="000B30B1"/>
    <w:rsid w:val="000B5B88"/>
    <w:rsid w:val="000C685F"/>
    <w:rsid w:val="000C7FBD"/>
    <w:rsid w:val="000E53CA"/>
    <w:rsid w:val="000F6CFC"/>
    <w:rsid w:val="00100386"/>
    <w:rsid w:val="00100BE7"/>
    <w:rsid w:val="001441C7"/>
    <w:rsid w:val="0014726A"/>
    <w:rsid w:val="00161415"/>
    <w:rsid w:val="00166279"/>
    <w:rsid w:val="0016710F"/>
    <w:rsid w:val="00186D10"/>
    <w:rsid w:val="00191DAF"/>
    <w:rsid w:val="00192ABC"/>
    <w:rsid w:val="00192D6A"/>
    <w:rsid w:val="0019490D"/>
    <w:rsid w:val="001A5B9A"/>
    <w:rsid w:val="001B09E1"/>
    <w:rsid w:val="001D1752"/>
    <w:rsid w:val="001F1DB9"/>
    <w:rsid w:val="00201D41"/>
    <w:rsid w:val="00206B16"/>
    <w:rsid w:val="002203AA"/>
    <w:rsid w:val="0023471B"/>
    <w:rsid w:val="00260E14"/>
    <w:rsid w:val="00271B3D"/>
    <w:rsid w:val="00287308"/>
    <w:rsid w:val="002972CE"/>
    <w:rsid w:val="002B35D5"/>
    <w:rsid w:val="002E24F1"/>
    <w:rsid w:val="002E7AE1"/>
    <w:rsid w:val="003002E9"/>
    <w:rsid w:val="00324C95"/>
    <w:rsid w:val="00327DB8"/>
    <w:rsid w:val="00342D1F"/>
    <w:rsid w:val="0034659C"/>
    <w:rsid w:val="003556C9"/>
    <w:rsid w:val="00357E1F"/>
    <w:rsid w:val="00390CEA"/>
    <w:rsid w:val="003A39A1"/>
    <w:rsid w:val="003D0651"/>
    <w:rsid w:val="003D6AC6"/>
    <w:rsid w:val="003D6FFB"/>
    <w:rsid w:val="003F4D9A"/>
    <w:rsid w:val="00420B9A"/>
    <w:rsid w:val="0042606C"/>
    <w:rsid w:val="0044718D"/>
    <w:rsid w:val="004517DC"/>
    <w:rsid w:val="00467143"/>
    <w:rsid w:val="004717E4"/>
    <w:rsid w:val="004810C7"/>
    <w:rsid w:val="0048304E"/>
    <w:rsid w:val="004C25DD"/>
    <w:rsid w:val="004D1AA4"/>
    <w:rsid w:val="004D66CD"/>
    <w:rsid w:val="004E0E54"/>
    <w:rsid w:val="00522A85"/>
    <w:rsid w:val="0052609E"/>
    <w:rsid w:val="005264AF"/>
    <w:rsid w:val="00527B93"/>
    <w:rsid w:val="0054204F"/>
    <w:rsid w:val="00553C2B"/>
    <w:rsid w:val="005572A8"/>
    <w:rsid w:val="00564A1F"/>
    <w:rsid w:val="0057044C"/>
    <w:rsid w:val="0057244E"/>
    <w:rsid w:val="00574480"/>
    <w:rsid w:val="00595BD7"/>
    <w:rsid w:val="005B1508"/>
    <w:rsid w:val="005B75EF"/>
    <w:rsid w:val="005C1386"/>
    <w:rsid w:val="005C3616"/>
    <w:rsid w:val="005D0871"/>
    <w:rsid w:val="005D4224"/>
    <w:rsid w:val="005D578E"/>
    <w:rsid w:val="006231E1"/>
    <w:rsid w:val="00630E39"/>
    <w:rsid w:val="0064585B"/>
    <w:rsid w:val="00653C47"/>
    <w:rsid w:val="006638F7"/>
    <w:rsid w:val="00666C5A"/>
    <w:rsid w:val="0068042A"/>
    <w:rsid w:val="006B228A"/>
    <w:rsid w:val="006B418A"/>
    <w:rsid w:val="006C0FFE"/>
    <w:rsid w:val="006E6868"/>
    <w:rsid w:val="00706E3B"/>
    <w:rsid w:val="007071C8"/>
    <w:rsid w:val="00713BB3"/>
    <w:rsid w:val="00715CBD"/>
    <w:rsid w:val="00726300"/>
    <w:rsid w:val="0073440D"/>
    <w:rsid w:val="00750F04"/>
    <w:rsid w:val="007727AD"/>
    <w:rsid w:val="00782E3B"/>
    <w:rsid w:val="007864D4"/>
    <w:rsid w:val="007C6911"/>
    <w:rsid w:val="007C6F8F"/>
    <w:rsid w:val="007D281A"/>
    <w:rsid w:val="007D570F"/>
    <w:rsid w:val="00823720"/>
    <w:rsid w:val="008252F7"/>
    <w:rsid w:val="008455E9"/>
    <w:rsid w:val="00851A1C"/>
    <w:rsid w:val="0085665E"/>
    <w:rsid w:val="00857183"/>
    <w:rsid w:val="0087457D"/>
    <w:rsid w:val="00887F8C"/>
    <w:rsid w:val="00891A95"/>
    <w:rsid w:val="00893480"/>
    <w:rsid w:val="0089686E"/>
    <w:rsid w:val="008A2E8E"/>
    <w:rsid w:val="008B17FA"/>
    <w:rsid w:val="008B7D56"/>
    <w:rsid w:val="008F0BC6"/>
    <w:rsid w:val="00903097"/>
    <w:rsid w:val="00912C3B"/>
    <w:rsid w:val="00922E15"/>
    <w:rsid w:val="009527B5"/>
    <w:rsid w:val="00957494"/>
    <w:rsid w:val="009656A3"/>
    <w:rsid w:val="00974AAC"/>
    <w:rsid w:val="00975F6B"/>
    <w:rsid w:val="009765BF"/>
    <w:rsid w:val="00976EA1"/>
    <w:rsid w:val="00993AC8"/>
    <w:rsid w:val="00997CD1"/>
    <w:rsid w:val="009A0453"/>
    <w:rsid w:val="009A053D"/>
    <w:rsid w:val="009B4695"/>
    <w:rsid w:val="009B64A2"/>
    <w:rsid w:val="009C010C"/>
    <w:rsid w:val="009C4589"/>
    <w:rsid w:val="009D1A67"/>
    <w:rsid w:val="009D65F1"/>
    <w:rsid w:val="009E0A02"/>
    <w:rsid w:val="009E5230"/>
    <w:rsid w:val="009E68FE"/>
    <w:rsid w:val="009E6C59"/>
    <w:rsid w:val="00A01774"/>
    <w:rsid w:val="00A40404"/>
    <w:rsid w:val="00A534C3"/>
    <w:rsid w:val="00A61C50"/>
    <w:rsid w:val="00A72BF5"/>
    <w:rsid w:val="00A74C53"/>
    <w:rsid w:val="00AC31B1"/>
    <w:rsid w:val="00AE3AB3"/>
    <w:rsid w:val="00AE3EC0"/>
    <w:rsid w:val="00AE5702"/>
    <w:rsid w:val="00B0220F"/>
    <w:rsid w:val="00B05F25"/>
    <w:rsid w:val="00B101D4"/>
    <w:rsid w:val="00B12EC4"/>
    <w:rsid w:val="00B13B81"/>
    <w:rsid w:val="00B17B17"/>
    <w:rsid w:val="00B227FA"/>
    <w:rsid w:val="00B33ED7"/>
    <w:rsid w:val="00B54634"/>
    <w:rsid w:val="00B550DE"/>
    <w:rsid w:val="00B8564B"/>
    <w:rsid w:val="00B95709"/>
    <w:rsid w:val="00BB045C"/>
    <w:rsid w:val="00BB49FA"/>
    <w:rsid w:val="00BC58E0"/>
    <w:rsid w:val="00BD6A9F"/>
    <w:rsid w:val="00BE0AB5"/>
    <w:rsid w:val="00BE0C4D"/>
    <w:rsid w:val="00BE1490"/>
    <w:rsid w:val="00BE3C31"/>
    <w:rsid w:val="00BF0D5D"/>
    <w:rsid w:val="00BF2C0E"/>
    <w:rsid w:val="00BF4A96"/>
    <w:rsid w:val="00C13AD8"/>
    <w:rsid w:val="00C43D5C"/>
    <w:rsid w:val="00C66323"/>
    <w:rsid w:val="00C70D0B"/>
    <w:rsid w:val="00C771AA"/>
    <w:rsid w:val="00C905C0"/>
    <w:rsid w:val="00CD74E0"/>
    <w:rsid w:val="00CE0508"/>
    <w:rsid w:val="00CF3F90"/>
    <w:rsid w:val="00CF787C"/>
    <w:rsid w:val="00CF7D1B"/>
    <w:rsid w:val="00D16DED"/>
    <w:rsid w:val="00D21D76"/>
    <w:rsid w:val="00D22868"/>
    <w:rsid w:val="00D267A9"/>
    <w:rsid w:val="00D34657"/>
    <w:rsid w:val="00D4580E"/>
    <w:rsid w:val="00D45CB1"/>
    <w:rsid w:val="00D4783A"/>
    <w:rsid w:val="00D52D4E"/>
    <w:rsid w:val="00D6188A"/>
    <w:rsid w:val="00D64360"/>
    <w:rsid w:val="00D74B71"/>
    <w:rsid w:val="00D75548"/>
    <w:rsid w:val="00D81837"/>
    <w:rsid w:val="00DA25A6"/>
    <w:rsid w:val="00DB19B0"/>
    <w:rsid w:val="00DC6A4E"/>
    <w:rsid w:val="00DD5254"/>
    <w:rsid w:val="00E13085"/>
    <w:rsid w:val="00E4341F"/>
    <w:rsid w:val="00E534FD"/>
    <w:rsid w:val="00E55053"/>
    <w:rsid w:val="00E55554"/>
    <w:rsid w:val="00E6044E"/>
    <w:rsid w:val="00E665C0"/>
    <w:rsid w:val="00E726B1"/>
    <w:rsid w:val="00E833AD"/>
    <w:rsid w:val="00E83939"/>
    <w:rsid w:val="00E92D18"/>
    <w:rsid w:val="00E97E61"/>
    <w:rsid w:val="00EA6A5D"/>
    <w:rsid w:val="00EB14CE"/>
    <w:rsid w:val="00EE3F75"/>
    <w:rsid w:val="00F203A7"/>
    <w:rsid w:val="00F2645C"/>
    <w:rsid w:val="00F4388B"/>
    <w:rsid w:val="00F521FC"/>
    <w:rsid w:val="00F541C9"/>
    <w:rsid w:val="00F611DE"/>
    <w:rsid w:val="00F6624F"/>
    <w:rsid w:val="00F66490"/>
    <w:rsid w:val="00F73CB4"/>
    <w:rsid w:val="00F77DC8"/>
    <w:rsid w:val="00F83AC5"/>
    <w:rsid w:val="00F87FB1"/>
    <w:rsid w:val="00F94AF6"/>
    <w:rsid w:val="00FB74FE"/>
    <w:rsid w:val="00FD1136"/>
    <w:rsid w:val="00FF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3A7FE"/>
  <w15:docId w15:val="{A302099D-E7CC-4313-A955-2074F087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qFormat="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57244E"/>
  </w:style>
  <w:style w:type="paragraph" w:styleId="Heading1">
    <w:name w:val="heading 1"/>
    <w:basedOn w:val="Normal"/>
    <w:next w:val="Normal2"/>
    <w:link w:val="Heading1Char"/>
    <w:uiPriority w:val="1"/>
    <w:qFormat/>
    <w:rsid w:val="008455E9"/>
    <w:pPr>
      <w:keepNext/>
      <w:keepLines/>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
    <w:link w:val="Heading2Char"/>
    <w:uiPriority w:val="2"/>
    <w:qFormat/>
    <w:rsid w:val="00B101D4"/>
    <w:pPr>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55E9"/>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B101D4"/>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qFormat/>
    <w:rsid w:val="00201D41"/>
    <w:pPr>
      <w:tabs>
        <w:tab w:val="center" w:pos="5040"/>
        <w:tab w:val="right" w:pos="10080"/>
      </w:tabs>
      <w:spacing w:after="0" w:line="240" w:lineRule="auto"/>
    </w:pPr>
    <w:rPr>
      <w:u w:val="single"/>
    </w:rPr>
  </w:style>
  <w:style w:type="character" w:customStyle="1" w:styleId="FooterChar">
    <w:name w:val="Footer Char"/>
    <w:basedOn w:val="DefaultParagraphFont"/>
    <w:link w:val="Footer"/>
    <w:uiPriority w:val="5"/>
    <w:rsid w:val="0054204F"/>
    <w:rPr>
      <w:u w:val="single"/>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qFormat/>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link w:val="Normal2Char"/>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7864D4"/>
    <w:pPr>
      <w:tabs>
        <w:tab w:val="left" w:leader="dot" w:pos="720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54204F"/>
    <w:rPr>
      <w:rFonts w:ascii="Palatino Linotype" w:hAnsi="Palatino Linotype"/>
      <w:sz w:val="22"/>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character" w:styleId="UnresolvedMention">
    <w:name w:val="Unresolved Mention"/>
    <w:basedOn w:val="DefaultParagraphFont"/>
    <w:uiPriority w:val="99"/>
    <w:rsid w:val="004C25DD"/>
    <w:rPr>
      <w:color w:val="605E5C"/>
      <w:shd w:val="clear" w:color="auto" w:fill="E1DFDD"/>
    </w:rPr>
  </w:style>
  <w:style w:type="character" w:styleId="FootnoteReference">
    <w:name w:val="footnote reference"/>
    <w:uiPriority w:val="99"/>
    <w:unhideWhenUsed/>
    <w:rsid w:val="004C25DD"/>
    <w:rPr>
      <w:vertAlign w:val="superscript"/>
    </w:rPr>
  </w:style>
  <w:style w:type="table" w:customStyle="1" w:styleId="WECCDefault">
    <w:name w:val="WECC Default"/>
    <w:basedOn w:val="TableNormal"/>
    <w:uiPriority w:val="99"/>
    <w:rsid w:val="004C25DD"/>
    <w:pPr>
      <w:spacing w:before="60" w:after="6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4" w:type="dxa"/>
        <w:left w:w="115" w:type="dxa"/>
        <w:bottom w:w="14" w:type="dxa"/>
        <w:right w:w="115" w:type="dxa"/>
      </w:tcMar>
    </w:tcPr>
    <w:tblStylePr w:type="firstRow">
      <w:pPr>
        <w:jc w:val="left"/>
      </w:pPr>
      <w:rPr>
        <w:rFonts w:ascii="Lucida Sans" w:hAnsi="Lucida Sans"/>
        <w:b/>
        <w:sz w:val="23"/>
      </w:rPr>
      <w:tblPr/>
      <w:tcPr>
        <w:shd w:val="clear" w:color="auto" w:fill="00395D" w:themeFill="accent1"/>
      </w:tcPr>
    </w:tblStylePr>
    <w:tblStylePr w:type="band2Horz">
      <w:tblPr/>
      <w:tcPr>
        <w:shd w:val="clear" w:color="auto" w:fill="EDE9DF" w:themeFill="accent5" w:themeFillTint="33"/>
      </w:tcPr>
    </w:tblStylePr>
  </w:style>
  <w:style w:type="paragraph" w:styleId="FootnoteText">
    <w:name w:val="footnote text"/>
    <w:basedOn w:val="Normal"/>
    <w:link w:val="FootnoteTextChar"/>
    <w:uiPriority w:val="99"/>
    <w:unhideWhenUsed/>
    <w:rsid w:val="00F66490"/>
    <w:pPr>
      <w:spacing w:before="0" w:after="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F66490"/>
    <w:rPr>
      <w:rFonts w:ascii="Palatino Linotype" w:hAnsi="Palatino Linotype"/>
      <w:sz w:val="20"/>
      <w:szCs w:val="20"/>
    </w:rPr>
  </w:style>
  <w:style w:type="table" w:customStyle="1" w:styleId="WECCDefault1">
    <w:name w:val="WECC Default1"/>
    <w:basedOn w:val="TableNormal"/>
    <w:uiPriority w:val="99"/>
    <w:rsid w:val="0073440D"/>
    <w:pPr>
      <w:spacing w:before="60" w:after="6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4" w:type="dxa"/>
        <w:left w:w="115" w:type="dxa"/>
        <w:bottom w:w="14" w:type="dxa"/>
        <w:right w:w="115" w:type="dxa"/>
      </w:tcMar>
    </w:tcPr>
    <w:tblStylePr w:type="firstRow">
      <w:pPr>
        <w:jc w:val="left"/>
      </w:pPr>
      <w:rPr>
        <w:rFonts w:ascii="Lucida Sans" w:hAnsi="Lucida Sans"/>
        <w:b/>
        <w:sz w:val="23"/>
      </w:rPr>
      <w:tblPr/>
      <w:tcPr>
        <w:shd w:val="clear" w:color="auto" w:fill="005172"/>
      </w:tcPr>
    </w:tblStylePr>
    <w:tblStylePr w:type="band2Horz">
      <w:tblPr/>
      <w:tcPr>
        <w:shd w:val="clear" w:color="auto" w:fill="E0E0E0"/>
      </w:tcPr>
    </w:tblStylePr>
  </w:style>
  <w:style w:type="paragraph" w:styleId="Title">
    <w:name w:val="Title"/>
    <w:basedOn w:val="Normal"/>
    <w:next w:val="Normal"/>
    <w:link w:val="TitleChar"/>
    <w:uiPriority w:val="10"/>
    <w:rsid w:val="006B228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228A"/>
    <w:rPr>
      <w:rFonts w:asciiTheme="majorHAnsi" w:eastAsiaTheme="majorEastAsia" w:hAnsiTheme="majorHAnsi" w:cstheme="majorBidi"/>
      <w:spacing w:val="-10"/>
      <w:kern w:val="28"/>
      <w:sz w:val="56"/>
      <w:szCs w:val="56"/>
    </w:rPr>
  </w:style>
  <w:style w:type="character" w:customStyle="1" w:styleId="Normal2Char">
    <w:name w:val="Normal 2 Char"/>
    <w:basedOn w:val="DefaultParagraphFont"/>
    <w:link w:val="Normal2"/>
    <w:rsid w:val="00B550DE"/>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077090">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 w:id="1189685632">
      <w:bodyDiv w:val="1"/>
      <w:marLeft w:val="0"/>
      <w:marRight w:val="0"/>
      <w:marTop w:val="0"/>
      <w:marBottom w:val="0"/>
      <w:divBdr>
        <w:top w:val="none" w:sz="0" w:space="0" w:color="auto"/>
        <w:left w:val="none" w:sz="0" w:space="0" w:color="auto"/>
        <w:bottom w:val="none" w:sz="0" w:space="0" w:color="auto"/>
        <w:right w:val="none" w:sz="0" w:space="0" w:color="auto"/>
      </w:divBdr>
    </w:div>
    <w:div w:id="1726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Report or Other</Document_x0020_Categorization_x0020_Policy>
    <TaxCatchAll xmlns="4bd63098-0c83-43cf-abdd-085f2cc55a51">
      <Value>2282</Value>
      <Value>993</Value>
    </TaxCatchAll>
    <Privacy xmlns="2fb8a92a-9032-49d6-b983-191f0a73b01f">Public</Privacy>
    <Event_x0020_ID xmlns="4bd63098-0c83-43cf-abdd-085f2cc55a51">16572; </Event_x0020_ID>
    <Committee xmlns="2fb8a92a-9032-49d6-b983-191f0a73b01f">
      <Value>WSC</Value>
    </Committee>
    <WECC_x0020_Status xmlns="2fb8a92a-9032-49d6-b983-191f0a73b01f">Approved/Final</WECC_x0020_Status>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WECC-0149</TermName>
          <TermId xmlns="http://schemas.microsoft.com/office/infopath/2007/PartnerControls">aeb87f78-01e4-41a0-a32d-bb9fb8183042</TermId>
        </TermInfo>
        <TermInfo xmlns="http://schemas.microsoft.com/office/infopath/2007/PartnerControls">
          <TermName xmlns="http://schemas.microsoft.com/office/infopath/2007/PartnerControls">Minutes</TermName>
          <TermId xmlns="http://schemas.microsoft.com/office/infopath/2007/PartnerControls">1cd7b51f-3fc5-45b0-a944-02d75569dac2</TermId>
        </TermInfo>
      </Terms>
    </TaxKeywordTaxHTField>
    <Approver xmlns="4bd63098-0c83-43cf-abdd-085f2cc55a51">
      <UserInfo>
        <DisplayName>Crane, Donovan</DisplayName>
        <AccountId>6264</AccountId>
        <AccountType/>
      </UserInfo>
    </Approver>
    <_dlc_DocId xmlns="4bd63098-0c83-43cf-abdd-085f2cc55a51">YWEQ7USXTMD7-11-22654</_dlc_DocId>
    <_dlc_DocIdUrl xmlns="4bd63098-0c83-43cf-abdd-085f2cc55a51">
      <Url>https://internal.wecc.org/_layouts/15/DocIdRedir.aspx?ID=YWEQ7USXTMD7-11-22654</Url>
      <Description>YWEQ7USXTMD7-11-22654</Description>
    </_dlc_DocIdUrl>
    <Jurisdiction xmlns="2fb8a92a-9032-49d6-b983-191f0a73b01f"/>
    <Meeting_x0020_Documents xmlns="2fb8a92a-9032-49d6-b983-191f0a73b01f">
      <Value>Minutes</Value>
    </Meeting_x0020_Documents>
    <Adopted_x002f_Approved_x0020_By xmlns="2fb8a92a-9032-49d6-b983-191f0a73b01f" xsi:nil="true"/>
    <_dlc_ExpireDateSaved xmlns="http://schemas.microsoft.com/sharepoint/v3" xsi:nil="true"/>
    <_dlc_ExpireDate xmlns="http://schemas.microsoft.com/sharepoint/v3">2024-10-18T22:04:24+00:00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BCA94B82-238C-4BB0-A806-50EABACBF434}">
  <ds:schemaRefs>
    <ds:schemaRef ds:uri="http://schemas.openxmlformats.org/officeDocument/2006/bibliography"/>
  </ds:schemaRefs>
</ds:datastoreItem>
</file>

<file path=customXml/itemProps2.xml><?xml version="1.0" encoding="utf-8"?>
<ds:datastoreItem xmlns:ds="http://schemas.openxmlformats.org/officeDocument/2006/customXml" ds:itemID="{E0C28FF9-46D5-4C39-AE90-5A04EC7A6835}"/>
</file>

<file path=customXml/itemProps3.xml><?xml version="1.0" encoding="utf-8"?>
<ds:datastoreItem xmlns:ds="http://schemas.openxmlformats.org/officeDocument/2006/customXml" ds:itemID="{AAE7D0B6-EF23-4BC9-AC05-F4FEEE10BD83}"/>
</file>

<file path=customXml/itemProps4.xml><?xml version="1.0" encoding="utf-8"?>
<ds:datastoreItem xmlns:ds="http://schemas.openxmlformats.org/officeDocument/2006/customXml" ds:itemID="{E6FB3717-E739-4C13-9A47-AE9D157DFF7F}"/>
</file>

<file path=customXml/itemProps5.xml><?xml version="1.0" encoding="utf-8"?>
<ds:datastoreItem xmlns:ds="http://schemas.openxmlformats.org/officeDocument/2006/customXml" ds:itemID="{6AE221A0-7EC6-43DD-8460-1C5431401F4E}"/>
</file>

<file path=customXml/itemProps6.xml><?xml version="1.0" encoding="utf-8"?>
<ds:datastoreItem xmlns:ds="http://schemas.openxmlformats.org/officeDocument/2006/customXml" ds:itemID="{16D30986-76FA-4769-B8A4-9593C66AE45B}"/>
</file>

<file path=docProps/app.xml><?xml version="1.0" encoding="utf-8"?>
<Properties xmlns="http://schemas.openxmlformats.org/officeDocument/2006/extended-properties" xmlns:vt="http://schemas.openxmlformats.org/officeDocument/2006/docPropsVTypes">
  <Template>MeetingMinutes</Template>
  <TotalTime>9</TotalTime>
  <Pages>4</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2022-10-18 Minutes WECC-0149 FAC-501-WECC - for approval 10-21-2022</dc:title>
  <dc:creator>Black, Shannon</dc:creator>
  <cp:keywords>WECC-0149; Minutes</cp:keywords>
  <cp:lastModifiedBy>Black, Shannon</cp:lastModifiedBy>
  <cp:revision>3</cp:revision>
  <cp:lastPrinted>2020-06-09T21:05:00Z</cp:lastPrinted>
  <dcterms:created xsi:type="dcterms:W3CDTF">2022-10-17T19:25:00Z</dcterms:created>
  <dcterms:modified xsi:type="dcterms:W3CDTF">2022-10-18T18:15:00Z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c5d8ee7c-eaf9-42b5-8561-5cd5b7ce617c</vt:lpwstr>
  </property>
  <property fmtid="{D5CDD505-2E9C-101B-9397-08002B2CF9AE}" pid="4" name="TaxKeyword">
    <vt:lpwstr>2282;#WECC-0149|aeb87f78-01e4-41a0-a32d-bb9fb8183042;#993;#Minutes|1cd7b51f-3fc5-45b0-a944-02d75569dac2</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